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3AA0EF" w:rsidP="723AA0EF" w:rsidRDefault="723AA0EF" w14:noSpellErr="1" w14:paraId="01D5DCB8" w14:textId="79E6A371">
      <w:pPr>
        <w:ind w:left="0"/>
      </w:pPr>
      <w:r w:rsidRPr="723AA0EF" w:rsidR="723AA0EF">
        <w:rPr>
          <w:rFonts w:ascii="Helvetica" w:hAnsi="Helvetica" w:eastAsia="Helvetica" w:cs="Helvetica"/>
          <w:b w:val="1"/>
          <w:bCs w:val="1"/>
          <w:noProof w:val="0"/>
          <w:sz w:val="28"/>
          <w:szCs w:val="28"/>
          <w:lang w:val="en-US"/>
        </w:rPr>
        <w:t>ATP Modules</w:t>
      </w:r>
    </w:p>
    <w:p w:rsidR="723AA0EF" w:rsidP="723AA0EF" w:rsidRDefault="723AA0EF" w14:paraId="6B1C1323" w14:textId="31DA8AFA">
      <w:pPr>
        <w:ind w:left="0"/>
      </w:pPr>
      <w:r w:rsidRPr="723AA0EF" w:rsidR="723AA0EF">
        <w:rPr>
          <w:rFonts w:ascii="Helvetica" w:hAnsi="Helvetica" w:eastAsia="Helvetica" w:cs="Helvetica"/>
          <w:noProof w:val="0"/>
          <w:sz w:val="20"/>
          <w:szCs w:val="20"/>
          <w:lang w:val="en-US"/>
        </w:rPr>
        <w:t xml:space="preserve"> </w:t>
      </w:r>
    </w:p>
    <w:p w:rsidR="723AA0EF" w:rsidP="723AA0EF" w:rsidRDefault="723AA0EF" w14:paraId="46A62CF4" w14:textId="59159E11">
      <w:pPr>
        <w:ind w:left="0"/>
      </w:pPr>
      <w:r w:rsidRPr="723AA0EF" w:rsidR="723AA0EF">
        <w:rPr>
          <w:rFonts w:ascii="Helvetica" w:hAnsi="Helvetica" w:eastAsia="Helvetica" w:cs="Helvetica"/>
          <w:noProof w:val="0"/>
          <w:sz w:val="20"/>
          <w:szCs w:val="20"/>
          <w:lang w:val="en-US"/>
        </w:rPr>
        <w:t xml:space="preserve">The ATP Service, powered by </w:t>
      </w:r>
      <w:proofErr w:type="spellStart"/>
      <w:r w:rsidRPr="723AA0EF" w:rsidR="723AA0EF">
        <w:rPr>
          <w:rFonts w:ascii="Helvetica" w:hAnsi="Helvetica" w:eastAsia="Helvetica" w:cs="Helvetica"/>
          <w:noProof w:val="0"/>
          <w:sz w:val="20"/>
          <w:szCs w:val="20"/>
          <w:lang w:val="en-US"/>
        </w:rPr>
        <w:t>Hornetsecurity</w:t>
      </w:r>
      <w:proofErr w:type="spellEnd"/>
      <w:r w:rsidRPr="723AA0EF" w:rsidR="723AA0EF">
        <w:rPr>
          <w:rFonts w:ascii="Helvetica" w:hAnsi="Helvetica" w:eastAsia="Helvetica" w:cs="Helvetica"/>
          <w:noProof w:val="0"/>
          <w:sz w:val="20"/>
          <w:szCs w:val="20"/>
          <w:lang w:val="en-US"/>
        </w:rPr>
        <w:t>, consists of 3 different mechanisms complementing each other:</w:t>
      </w:r>
    </w:p>
    <w:p w:rsidR="723AA0EF" w:rsidP="723AA0EF" w:rsidRDefault="723AA0EF" w14:paraId="2FBBCB6B" w14:textId="00F1A0FC">
      <w:pPr>
        <w:ind w:left="0"/>
      </w:pPr>
      <w:r w:rsidRPr="723AA0EF" w:rsidR="723AA0EF">
        <w:rPr>
          <w:rFonts w:ascii="Helvetica" w:hAnsi="Helvetica" w:eastAsia="Helvetica" w:cs="Helvetica"/>
          <w:noProof w:val="0"/>
          <w:sz w:val="20"/>
          <w:szCs w:val="20"/>
          <w:lang w:val="en-US"/>
        </w:rPr>
        <w:t xml:space="preserve"> 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2220"/>
        <w:gridCol w:w="2220"/>
      </w:tblGrid>
      <w:tr w:rsidR="723AA0EF" w:rsidTr="723AA0EF" w14:paraId="1D3D8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723AA0EF" w:rsidP="723AA0EF" w:rsidRDefault="723AA0EF" w14:noSpellErr="1" w14:paraId="5DCADD02" w14:textId="6ADE1FE2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b w:val="1"/>
                <w:bCs w:val="1"/>
                <w:sz w:val="20"/>
                <w:szCs w:val="20"/>
              </w:rPr>
              <w:t>Module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723AA0EF" w:rsidP="723AA0EF" w:rsidRDefault="723AA0EF" w14:noSpellErr="1" w14:paraId="11BC4214" w14:textId="35FFB508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b w:val="1"/>
                <w:bCs w:val="1"/>
                <w:sz w:val="20"/>
                <w:szCs w:val="20"/>
              </w:rPr>
              <w:t>Status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723AA0EF" w:rsidP="723AA0EF" w:rsidRDefault="723AA0EF" w14:noSpellErr="1" w14:paraId="489D3259" w14:textId="02C037A3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b w:val="1"/>
                <w:bCs w:val="1"/>
                <w:sz w:val="20"/>
                <w:szCs w:val="20"/>
              </w:rPr>
              <w:t>Follow up information required</w:t>
            </w:r>
          </w:p>
        </w:tc>
      </w:tr>
      <w:tr w:rsidR="723AA0EF" w:rsidTr="723AA0EF" w14:paraId="7447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723AA0EF" w:rsidP="723AA0EF" w:rsidRDefault="723AA0EF" w14:noSpellErr="1" w14:paraId="6853A925" w14:textId="4A1668AA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ATP-Filter (Sandbox engine, Freezing, URL scanning)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723AA0EF" w:rsidP="723AA0EF" w:rsidRDefault="723AA0EF" w14:noSpellErr="1" w14:paraId="60E6CAF1" w14:textId="27C4BA58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Now enabled on your account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723AA0EF" w:rsidP="723AA0EF" w:rsidRDefault="723AA0EF" w14:noSpellErr="1" w14:paraId="1F1AE095" w14:textId="46E28C38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None</w:t>
            </w:r>
          </w:p>
          <w:p w:rsidR="723AA0EF" w:rsidP="723AA0EF" w:rsidRDefault="723AA0EF" w14:paraId="16A0AB2E" w14:textId="70F8DF49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 xml:space="preserve"> </w:t>
            </w:r>
          </w:p>
          <w:p w:rsidR="723AA0EF" w:rsidP="723AA0EF" w:rsidRDefault="723AA0EF" w14:paraId="4F233DB5" w14:textId="0E8B4391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 xml:space="preserve"> </w:t>
            </w:r>
          </w:p>
        </w:tc>
      </w:tr>
      <w:tr w:rsidR="723AA0EF" w:rsidTr="723AA0EF" w14:paraId="5F7C9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723AA0EF" w:rsidP="723AA0EF" w:rsidRDefault="723AA0EF" w14:noSpellErr="1" w14:paraId="0EABBD3F" w14:textId="337BA750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ATP URL Rewriting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723AA0EF" w:rsidP="723AA0EF" w:rsidRDefault="723AA0EF" w14:noSpellErr="1" w14:paraId="032A1CCB" w14:textId="4D659872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Will be enabled in 7-days</w:t>
            </w:r>
          </w:p>
          <w:p w:rsidR="723AA0EF" w:rsidP="723AA0EF" w:rsidRDefault="723AA0EF" w14:noSpellErr="1" w14:paraId="5CE3D186" w14:textId="2CE5D6D6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723AA0EF" w:rsidP="723AA0EF" w:rsidRDefault="723AA0EF" w14:noSpellErr="1" w14:paraId="0CF93C44" w14:textId="0CF92E02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  <w:highlight w:val="yellow"/>
              </w:rPr>
              <w:t>Whitelist required from you</w:t>
            </w:r>
          </w:p>
        </w:tc>
      </w:tr>
      <w:tr w:rsidR="723AA0EF" w:rsidTr="723AA0EF" w14:paraId="5533E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723AA0EF" w:rsidP="723AA0EF" w:rsidRDefault="723AA0EF" w14:noSpellErr="1" w14:paraId="7A6ADC1A" w14:textId="3FB77785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Targeted Fraud Forensic Filter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723AA0EF" w:rsidP="723AA0EF" w:rsidRDefault="723AA0EF" w14:noSpellErr="1" w14:paraId="22B9E9C4" w14:textId="2E9FFDBE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Follow up information required to allow it to be enabled</w:t>
            </w:r>
          </w:p>
          <w:p w:rsidR="723AA0EF" w:rsidP="723AA0EF" w:rsidRDefault="723AA0EF" w14:noSpellErr="1" w14:paraId="6B1086C3" w14:textId="6EAE3A54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723AA0EF" w:rsidP="723AA0EF" w:rsidRDefault="723AA0EF" w14:noSpellErr="1" w14:paraId="08C9C772" w14:textId="7D3DB171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  <w:highlight w:val="yellow"/>
              </w:rPr>
              <w:t>Follow up information required to allow it to be enabled</w:t>
            </w:r>
          </w:p>
        </w:tc>
      </w:tr>
    </w:tbl>
    <w:p w:rsidR="723AA0EF" w:rsidP="723AA0EF" w:rsidRDefault="723AA0EF" w14:paraId="13EAA994" w14:textId="43BCE9EB">
      <w:pPr>
        <w:ind w:left="0"/>
      </w:pPr>
      <w:r w:rsidRPr="723AA0EF" w:rsidR="723AA0EF">
        <w:rPr>
          <w:rFonts w:ascii="Helvetica" w:hAnsi="Helvetica" w:eastAsia="Helvetica" w:cs="Helvetica"/>
          <w:noProof w:val="0"/>
          <w:sz w:val="20"/>
          <w:szCs w:val="20"/>
          <w:lang w:val="en-US"/>
        </w:rPr>
        <w:t xml:space="preserve"> </w:t>
      </w:r>
    </w:p>
    <w:p w:rsidR="723AA0EF" w:rsidP="723AA0EF" w:rsidRDefault="723AA0EF" w14:noSpellErr="1" w14:paraId="38020343" w14:textId="79670C29">
      <w:pPr>
        <w:ind w:left="0"/>
      </w:pPr>
      <w:r w:rsidRPr="723AA0EF" w:rsidR="723AA0EF">
        <w:rPr>
          <w:rFonts w:ascii="Helvetica" w:hAnsi="Helvetica" w:eastAsia="Helvetica" w:cs="Helvetica"/>
          <w:b w:val="1"/>
          <w:bCs w:val="1"/>
          <w:noProof w:val="0"/>
          <w:sz w:val="28"/>
          <w:szCs w:val="28"/>
          <w:lang w:val="en-US"/>
        </w:rPr>
        <w:t>Follow up Information Required from You</w:t>
      </w:r>
    </w:p>
    <w:p w:rsidR="723AA0EF" w:rsidP="723AA0EF" w:rsidRDefault="723AA0EF" w14:paraId="6B81A865" w14:textId="5700656B">
      <w:pPr>
        <w:ind w:left="0"/>
      </w:pPr>
      <w:r w:rsidRPr="723AA0EF" w:rsidR="723AA0EF">
        <w:rPr>
          <w:rFonts w:ascii="Helvetica" w:hAnsi="Helvetica" w:eastAsia="Helvetica" w:cs="Helvetica"/>
          <w:b w:val="1"/>
          <w:bCs w:val="1"/>
          <w:noProof w:val="0"/>
          <w:sz w:val="28"/>
          <w:szCs w:val="28"/>
          <w:lang w:val="en-US"/>
        </w:rPr>
        <w:t xml:space="preserve"> 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2865"/>
        <w:gridCol w:w="4350"/>
      </w:tblGrid>
      <w:tr w:rsidR="723AA0EF" w:rsidTr="723AA0EF" w14:paraId="0F269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23AA0EF" w:rsidP="723AA0EF" w:rsidRDefault="723AA0EF" w14:noSpellErr="1" w14:paraId="57BAEB9A" w14:textId="3EE89DC9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b w:val="1"/>
                <w:bCs w:val="1"/>
                <w:sz w:val="20"/>
                <w:szCs w:val="20"/>
              </w:rPr>
              <w:t>Module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50" w:type="dxa"/>
            <w:tcMar/>
          </w:tcPr>
          <w:p w:rsidR="723AA0EF" w:rsidP="723AA0EF" w:rsidRDefault="723AA0EF" w14:noSpellErr="1" w14:paraId="2BBA3237" w14:textId="7606C411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b w:val="1"/>
                <w:bCs w:val="1"/>
                <w:sz w:val="20"/>
                <w:szCs w:val="20"/>
              </w:rPr>
              <w:t>Information Required</w:t>
            </w:r>
          </w:p>
        </w:tc>
      </w:tr>
      <w:tr w:rsidR="723AA0EF" w:rsidTr="723AA0EF" w14:paraId="12D3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23AA0EF" w:rsidP="723AA0EF" w:rsidRDefault="723AA0EF" w14:noSpellErr="1" w14:paraId="284FC346" w14:textId="644B21C7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ATP URL Rewriting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50" w:type="dxa"/>
            <w:tcMar/>
          </w:tcPr>
          <w:p w:rsidR="723AA0EF" w:rsidP="723AA0EF" w:rsidRDefault="723AA0EF" w14:paraId="4452AB93" w14:textId="48F705D8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 xml:space="preserve">Please reply to this ticket with a list of URL’s that are NOT to be scanned by the URL rewriter. These will typically be internal domain names and any </w:t>
            </w:r>
            <w:proofErr w:type="spellStart"/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personalised</w:t>
            </w:r>
            <w:proofErr w:type="spellEnd"/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 xml:space="preserve"> domain names for online platforms e.g. yourdomain.crmsystem.com.</w:t>
            </w:r>
          </w:p>
          <w:p w:rsidR="723AA0EF" w:rsidP="723AA0EF" w:rsidRDefault="723AA0EF" w14:paraId="392CD8AE" w14:textId="19EEBD57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 xml:space="preserve"> </w:t>
            </w:r>
          </w:p>
        </w:tc>
      </w:tr>
      <w:tr w:rsidR="723AA0EF" w:rsidTr="723AA0EF" w14:paraId="2EB89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23AA0EF" w:rsidP="723AA0EF" w:rsidRDefault="723AA0EF" w14:noSpellErr="1" w14:paraId="61D9CD2F" w14:textId="2D9E088C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Targeted Fraud Forensic Filter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50" w:type="dxa"/>
            <w:tcMar/>
          </w:tcPr>
          <w:p w:rsidR="723AA0EF" w:rsidP="723AA0EF" w:rsidRDefault="723AA0EF" w14:paraId="0E8363E5" w14:textId="3674049A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 xml:space="preserve">Please reply to this ticket with a list of email addresses that are to be protected by TFFF. This will typically be senior managers in your </w:t>
            </w:r>
            <w:proofErr w:type="spellStart"/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>organisation</w:t>
            </w:r>
            <w:proofErr w:type="spellEnd"/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 xml:space="preserve"> who are responsible for authorizing or initiating financial transactions, e.g. CEO, CFO, accounting manager, etc.</w:t>
            </w:r>
          </w:p>
          <w:p w:rsidR="723AA0EF" w:rsidP="723AA0EF" w:rsidRDefault="723AA0EF" w14:paraId="671A407A" w14:textId="70B5CCE0">
            <w:pPr>
              <w:ind w:left="0"/>
            </w:pPr>
            <w:r w:rsidRPr="723AA0EF" w:rsidR="723AA0EF">
              <w:rPr>
                <w:rFonts w:ascii="Helvetica" w:hAnsi="Helvetica" w:eastAsia="Helvetica" w:cs="Helvetica"/>
                <w:sz w:val="20"/>
                <w:szCs w:val="20"/>
              </w:rPr>
              <w:t xml:space="preserve"> </w:t>
            </w:r>
          </w:p>
        </w:tc>
      </w:tr>
    </w:tbl>
    <w:p w:rsidR="723AA0EF" w:rsidP="723AA0EF" w:rsidRDefault="723AA0EF" w14:paraId="543B4F85" w14:textId="514A7EA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amon Bree">
    <w15:presenceInfo w15:providerId="AD" w15:userId="10037FFE9C113F9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CE3741"/>
  <w15:docId w15:val="{3ee7f052-de6c-407b-a2d3-ee37b0a7f8f6}"/>
  <w:rsids>
    <w:rsidRoot w:val="15CE3741"/>
    <w:rsid w:val="15CE3741"/>
    <w:rsid w:val="723AA0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fb45a95c909e4a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2018-03-05T00:36:41.8811200Z</dcterms:created>
  <dcterms:modified xsi:type="dcterms:W3CDTF">2018-03-05T00:37:13.9993381Z</dcterms:modified>
  <dc:creator>Damon Bree</dc:creator>
  <lastModifiedBy>Damon Bree</lastModifiedBy>
</coreProperties>
</file>