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F39E2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16432">
        <w:rPr>
          <w:rFonts w:ascii="Tahoma" w:hAnsi="Tahoma" w:cs="Tahoma"/>
          <w:color w:val="FF0000"/>
          <w:sz w:val="28"/>
          <w:szCs w:val="28"/>
        </w:rPr>
        <w:t>Syllabus Training</w:t>
      </w:r>
    </w:p>
    <w:p w14:paraId="480C7EA0" w14:textId="29CAE4DD" w:rsidR="00616432" w:rsidRPr="00616432" w:rsidRDefault="00616432" w:rsidP="00933397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Tahoma" w:hAnsi="Tahoma" w:cs="Tahoma"/>
          <w:b/>
          <w:color w:val="FF0000"/>
          <w:sz w:val="28"/>
          <w:szCs w:val="28"/>
        </w:rPr>
      </w:pPr>
      <w:r w:rsidRPr="00616432">
        <w:rPr>
          <w:rFonts w:ascii="Tahoma" w:hAnsi="Tahoma" w:cs="Tahoma"/>
          <w:b/>
          <w:color w:val="FF0000"/>
          <w:sz w:val="28"/>
          <w:szCs w:val="28"/>
        </w:rPr>
        <w:t>Jupix Property Management and Accounts</w:t>
      </w:r>
    </w:p>
    <w:p w14:paraId="67BABB43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-561"/>
        <w:jc w:val="center"/>
        <w:rPr>
          <w:rFonts w:ascii="Tahoma" w:hAnsi="Tahoma" w:cs="Tahoma"/>
          <w:b/>
          <w:color w:val="FF0000"/>
          <w:sz w:val="28"/>
          <w:szCs w:val="28"/>
        </w:rPr>
      </w:pPr>
    </w:p>
    <w:p w14:paraId="5EA98E74" w14:textId="77777777" w:rsidR="00616432" w:rsidRPr="00933397" w:rsidRDefault="00616432" w:rsidP="00616432">
      <w:pPr>
        <w:jc w:val="center"/>
        <w:rPr>
          <w:rFonts w:ascii="Tahoma" w:hAnsi="Tahoma" w:cs="Tahoma"/>
          <w:b/>
          <w:i/>
          <w:color w:val="FF0000"/>
          <w:sz w:val="16"/>
          <w:szCs w:val="16"/>
        </w:rPr>
      </w:pPr>
      <w:r w:rsidRPr="00933397">
        <w:rPr>
          <w:rFonts w:ascii="Tahoma" w:hAnsi="Tahoma" w:cs="Tahoma"/>
          <w:b/>
          <w:color w:val="FF0000"/>
          <w:sz w:val="16"/>
          <w:szCs w:val="16"/>
        </w:rPr>
        <w:t>(</w:t>
      </w:r>
      <w:r w:rsidRPr="00933397">
        <w:rPr>
          <w:rFonts w:ascii="Tahoma" w:hAnsi="Tahoma" w:cs="Tahoma"/>
          <w:b/>
          <w:i/>
          <w:color w:val="FF0000"/>
          <w:sz w:val="16"/>
          <w:szCs w:val="16"/>
        </w:rPr>
        <w:t>This is a guide only to what will be covered, content may vary dependant on your needs)</w:t>
      </w:r>
    </w:p>
    <w:p w14:paraId="11A900C4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ind w:right="-561"/>
        <w:rPr>
          <w:rFonts w:ascii="Tahoma" w:hAnsi="Tahoma" w:cs="Tahoma"/>
          <w:b/>
          <w:color w:val="DD2034"/>
          <w:sz w:val="36"/>
          <w:szCs w:val="36"/>
        </w:rPr>
      </w:pPr>
    </w:p>
    <w:p w14:paraId="39780E71" w14:textId="77777777" w:rsidR="00616432" w:rsidRPr="00616432" w:rsidRDefault="00616432" w:rsidP="00616432">
      <w:pPr>
        <w:rPr>
          <w:rFonts w:ascii="Tahoma" w:hAnsi="Tahoma" w:cs="Tahoma"/>
        </w:rPr>
        <w:sectPr w:rsidR="00616432" w:rsidRPr="00616432" w:rsidSect="00616432">
          <w:headerReference w:type="default" r:id="rId6"/>
          <w:footerReference w:type="default" r:id="rId7"/>
          <w:type w:val="continuous"/>
          <w:pgSz w:w="12240" w:h="15840"/>
          <w:pgMar w:top="2410" w:right="1440" w:bottom="1418" w:left="1440" w:header="0" w:footer="720" w:gutter="0"/>
          <w:pgNumType w:start="1"/>
          <w:cols w:space="720"/>
        </w:sectPr>
      </w:pPr>
    </w:p>
    <w:p w14:paraId="7B64278A" w14:textId="77777777" w:rsidR="006A6C2D" w:rsidRDefault="006A6C2D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3D6A926C" w14:textId="7F58593B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616432">
        <w:rPr>
          <w:rFonts w:ascii="Tahoma" w:hAnsi="Tahoma" w:cs="Tahoma"/>
          <w:color w:val="DD2034"/>
          <w:sz w:val="20"/>
          <w:szCs w:val="20"/>
        </w:rPr>
        <w:t>Introduction and Home Screen</w:t>
      </w:r>
    </w:p>
    <w:p w14:paraId="3C800F07" w14:textId="77777777" w:rsidR="00616432" w:rsidRPr="00616432" w:rsidRDefault="00616432" w:rsidP="00616432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616432">
        <w:rPr>
          <w:rFonts w:ascii="Tahoma" w:hAnsi="Tahoma" w:cs="Tahoma"/>
          <w:color w:val="3D3640"/>
          <w:sz w:val="20"/>
          <w:szCs w:val="20"/>
        </w:rPr>
        <w:t>Knowledge Centre</w:t>
      </w:r>
    </w:p>
    <w:p w14:paraId="17CD5890" w14:textId="77777777" w:rsidR="00616432" w:rsidRPr="00616432" w:rsidRDefault="00616432" w:rsidP="00616432">
      <w:pPr>
        <w:widowControl w:val="0"/>
        <w:rPr>
          <w:rFonts w:ascii="Tahoma" w:hAnsi="Tahoma" w:cs="Tahoma"/>
          <w:color w:val="3D3640"/>
          <w:sz w:val="20"/>
          <w:szCs w:val="20"/>
        </w:rPr>
      </w:pPr>
      <w:r w:rsidRPr="00616432">
        <w:rPr>
          <w:rFonts w:ascii="Tahoma" w:hAnsi="Tahoma" w:cs="Tahoma"/>
          <w:color w:val="3D3640"/>
          <w:sz w:val="20"/>
          <w:szCs w:val="20"/>
        </w:rPr>
        <w:t>Property Management Dashboard</w:t>
      </w:r>
    </w:p>
    <w:p w14:paraId="3BCB37B2" w14:textId="77777777" w:rsidR="00616432" w:rsidRPr="00616432" w:rsidRDefault="00616432" w:rsidP="00616432">
      <w:pPr>
        <w:widowControl w:val="0"/>
        <w:rPr>
          <w:rFonts w:ascii="Tahoma" w:hAnsi="Tahoma" w:cs="Tahoma"/>
          <w:color w:val="3D3640"/>
          <w:sz w:val="20"/>
          <w:szCs w:val="20"/>
        </w:rPr>
      </w:pPr>
    </w:p>
    <w:p w14:paraId="7E248805" w14:textId="77777777" w:rsidR="00616432" w:rsidRPr="00616432" w:rsidRDefault="00616432" w:rsidP="00616432">
      <w:pPr>
        <w:widowControl w:val="0"/>
        <w:rPr>
          <w:rFonts w:ascii="Tahoma" w:hAnsi="Tahoma" w:cs="Tahoma"/>
          <w:color w:val="DD2034"/>
          <w:sz w:val="20"/>
          <w:szCs w:val="20"/>
        </w:rPr>
      </w:pPr>
      <w:r w:rsidRPr="00616432">
        <w:rPr>
          <w:rFonts w:ascii="Tahoma" w:hAnsi="Tahoma" w:cs="Tahoma"/>
          <w:color w:val="DD2034"/>
          <w:sz w:val="20"/>
          <w:szCs w:val="20"/>
        </w:rPr>
        <w:t>Properties</w:t>
      </w:r>
    </w:p>
    <w:p w14:paraId="5A831848" w14:textId="77777777" w:rsidR="00616432" w:rsidRPr="00616432" w:rsidRDefault="00616432" w:rsidP="00616432">
      <w:pPr>
        <w:widowControl w:val="0"/>
        <w:rPr>
          <w:rFonts w:ascii="Tahoma" w:hAnsi="Tahoma" w:cs="Tahoma"/>
          <w:sz w:val="20"/>
          <w:szCs w:val="20"/>
        </w:rPr>
      </w:pPr>
      <w:r w:rsidRPr="00616432">
        <w:rPr>
          <w:rFonts w:ascii="Tahoma" w:hAnsi="Tahoma" w:cs="Tahoma"/>
          <w:sz w:val="20"/>
          <w:szCs w:val="20"/>
        </w:rPr>
        <w:t>Add commission and charges</w:t>
      </w:r>
    </w:p>
    <w:p w14:paraId="724774B8" w14:textId="77777777" w:rsidR="00616432" w:rsidRPr="00616432" w:rsidRDefault="00616432" w:rsidP="00616432">
      <w:pPr>
        <w:widowControl w:val="0"/>
        <w:rPr>
          <w:rFonts w:ascii="Tahoma" w:hAnsi="Tahoma" w:cs="Tahoma"/>
          <w:sz w:val="20"/>
          <w:szCs w:val="20"/>
        </w:rPr>
      </w:pPr>
      <w:r w:rsidRPr="00616432">
        <w:rPr>
          <w:rFonts w:ascii="Tahoma" w:hAnsi="Tahoma" w:cs="Tahoma"/>
          <w:sz w:val="20"/>
          <w:szCs w:val="20"/>
        </w:rPr>
        <w:t>Record safety certificate dates</w:t>
      </w:r>
    </w:p>
    <w:p w14:paraId="3A55ACA2" w14:textId="77777777" w:rsidR="00616432" w:rsidRPr="00616432" w:rsidRDefault="00616432" w:rsidP="00616432">
      <w:pPr>
        <w:widowControl w:val="0"/>
        <w:rPr>
          <w:rFonts w:ascii="Tahoma" w:hAnsi="Tahoma" w:cs="Tahoma"/>
          <w:sz w:val="20"/>
          <w:szCs w:val="20"/>
        </w:rPr>
      </w:pPr>
      <w:r w:rsidRPr="00616432">
        <w:rPr>
          <w:rFonts w:ascii="Tahoma" w:hAnsi="Tahoma" w:cs="Tahoma"/>
          <w:sz w:val="20"/>
          <w:szCs w:val="20"/>
        </w:rPr>
        <w:t>Upload documents</w:t>
      </w:r>
    </w:p>
    <w:p w14:paraId="03CC8B03" w14:textId="77777777" w:rsidR="00616432" w:rsidRPr="00616432" w:rsidRDefault="00616432" w:rsidP="00616432">
      <w:pPr>
        <w:widowControl w:val="0"/>
        <w:rPr>
          <w:rFonts w:ascii="Tahoma" w:hAnsi="Tahoma" w:cs="Tahoma"/>
          <w:sz w:val="20"/>
          <w:szCs w:val="20"/>
        </w:rPr>
      </w:pPr>
      <w:r w:rsidRPr="00616432">
        <w:rPr>
          <w:rFonts w:ascii="Tahoma" w:hAnsi="Tahoma" w:cs="Tahoma"/>
          <w:sz w:val="20"/>
          <w:szCs w:val="20"/>
        </w:rPr>
        <w:t>Preferred suppliers</w:t>
      </w:r>
    </w:p>
    <w:p w14:paraId="58FDA27E" w14:textId="77777777" w:rsidR="00616432" w:rsidRPr="00616432" w:rsidRDefault="00616432" w:rsidP="00616432">
      <w:pPr>
        <w:widowControl w:val="0"/>
        <w:rPr>
          <w:rFonts w:ascii="Tahoma" w:hAnsi="Tahoma" w:cs="Tahoma"/>
          <w:sz w:val="20"/>
          <w:szCs w:val="20"/>
        </w:rPr>
      </w:pPr>
      <w:r w:rsidRPr="00616432">
        <w:rPr>
          <w:rFonts w:ascii="Tahoma" w:hAnsi="Tahoma" w:cs="Tahoma"/>
          <w:sz w:val="20"/>
          <w:szCs w:val="20"/>
        </w:rPr>
        <w:t>Creating and managing work orders</w:t>
      </w:r>
    </w:p>
    <w:p w14:paraId="154FA2A7" w14:textId="77777777" w:rsidR="00616432" w:rsidRPr="00616432" w:rsidRDefault="00616432" w:rsidP="00616432">
      <w:pPr>
        <w:widowControl w:val="0"/>
        <w:rPr>
          <w:rFonts w:ascii="Tahoma" w:hAnsi="Tahoma" w:cs="Tahoma"/>
          <w:color w:val="DD2034"/>
          <w:sz w:val="20"/>
          <w:szCs w:val="20"/>
        </w:rPr>
      </w:pPr>
    </w:p>
    <w:p w14:paraId="2B1FA335" w14:textId="77777777" w:rsidR="00616432" w:rsidRPr="00616432" w:rsidRDefault="00616432" w:rsidP="00616432">
      <w:pPr>
        <w:widowControl w:val="0"/>
        <w:rPr>
          <w:rFonts w:ascii="Tahoma" w:hAnsi="Tahoma" w:cs="Tahoma"/>
          <w:color w:val="DD2034"/>
          <w:sz w:val="20"/>
          <w:szCs w:val="20"/>
        </w:rPr>
      </w:pPr>
      <w:r w:rsidRPr="00616432">
        <w:rPr>
          <w:rFonts w:ascii="Tahoma" w:hAnsi="Tahoma" w:cs="Tahoma"/>
          <w:color w:val="DD2034"/>
          <w:sz w:val="20"/>
          <w:szCs w:val="20"/>
        </w:rPr>
        <w:t xml:space="preserve">Creating a Tenancy </w:t>
      </w:r>
    </w:p>
    <w:p w14:paraId="77C4E71E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16432">
        <w:rPr>
          <w:rFonts w:ascii="Tahoma" w:hAnsi="Tahoma" w:cs="Tahoma"/>
          <w:color w:val="3D3640"/>
          <w:sz w:val="20"/>
          <w:szCs w:val="20"/>
        </w:rPr>
        <w:t>Update tenancy details</w:t>
      </w:r>
    </w:p>
    <w:p w14:paraId="57E352F2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16432">
        <w:rPr>
          <w:rFonts w:ascii="Tahoma" w:hAnsi="Tahoma" w:cs="Tahoma"/>
          <w:color w:val="3D3640"/>
          <w:sz w:val="20"/>
          <w:szCs w:val="20"/>
        </w:rPr>
        <w:t>Creating AST and other documents</w:t>
      </w:r>
    </w:p>
    <w:p w14:paraId="46F2013B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16432">
        <w:rPr>
          <w:rFonts w:ascii="Tahoma" w:hAnsi="Tahoma" w:cs="Tahoma"/>
          <w:color w:val="3D3640"/>
          <w:sz w:val="20"/>
          <w:szCs w:val="20"/>
        </w:rPr>
        <w:t>Recording property visits and other dates</w:t>
      </w:r>
    </w:p>
    <w:p w14:paraId="4D25FCD0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16432">
        <w:rPr>
          <w:rFonts w:ascii="Tahoma" w:hAnsi="Tahoma" w:cs="Tahoma"/>
          <w:color w:val="3D3640"/>
          <w:sz w:val="20"/>
          <w:szCs w:val="20"/>
        </w:rPr>
        <w:t>Add metre readings</w:t>
      </w:r>
    </w:p>
    <w:p w14:paraId="4560A33C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16432">
        <w:rPr>
          <w:rFonts w:ascii="Tahoma" w:hAnsi="Tahoma" w:cs="Tahoma"/>
          <w:color w:val="3D3640"/>
          <w:sz w:val="20"/>
          <w:szCs w:val="20"/>
        </w:rPr>
        <w:t xml:space="preserve">Recoding deposit information </w:t>
      </w:r>
    </w:p>
    <w:p w14:paraId="27630F50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16432">
        <w:rPr>
          <w:rFonts w:ascii="Tahoma" w:hAnsi="Tahoma" w:cs="Tahoma"/>
          <w:color w:val="3D3640"/>
          <w:sz w:val="20"/>
          <w:szCs w:val="20"/>
        </w:rPr>
        <w:t>Add tenants first account</w:t>
      </w:r>
    </w:p>
    <w:p w14:paraId="1E4F33BA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16432">
        <w:rPr>
          <w:rFonts w:ascii="Tahoma" w:hAnsi="Tahoma" w:cs="Tahoma"/>
          <w:color w:val="3D3640"/>
          <w:sz w:val="20"/>
          <w:szCs w:val="20"/>
        </w:rPr>
        <w:t>Add landlords first account</w:t>
      </w:r>
    </w:p>
    <w:p w14:paraId="5F801ADE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16432">
        <w:rPr>
          <w:rFonts w:ascii="Tahoma" w:hAnsi="Tahoma" w:cs="Tahoma"/>
          <w:color w:val="3D3640"/>
          <w:sz w:val="20"/>
          <w:szCs w:val="20"/>
        </w:rPr>
        <w:t>Tenancy and property ledger</w:t>
      </w:r>
    </w:p>
    <w:p w14:paraId="5093AE9C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</w:p>
    <w:p w14:paraId="4C9E6918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616432">
        <w:rPr>
          <w:rFonts w:ascii="Tahoma" w:hAnsi="Tahoma" w:cs="Tahoma"/>
          <w:color w:val="DD2034"/>
          <w:sz w:val="20"/>
          <w:szCs w:val="20"/>
        </w:rPr>
        <w:t>Landlords</w:t>
      </w:r>
    </w:p>
    <w:p w14:paraId="74329010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16432">
        <w:rPr>
          <w:rFonts w:ascii="Tahoma" w:hAnsi="Tahoma" w:cs="Tahoma"/>
          <w:color w:val="3D3640"/>
          <w:sz w:val="20"/>
          <w:szCs w:val="20"/>
        </w:rPr>
        <w:t>Overseas landlord tax</w:t>
      </w:r>
    </w:p>
    <w:p w14:paraId="52CDA78E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16432">
        <w:rPr>
          <w:rFonts w:ascii="Tahoma" w:hAnsi="Tahoma" w:cs="Tahoma"/>
          <w:color w:val="3D3640"/>
          <w:sz w:val="20"/>
          <w:szCs w:val="20"/>
        </w:rPr>
        <w:t>Setting up payment methods</w:t>
      </w:r>
    </w:p>
    <w:p w14:paraId="36A1C23C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  <w:r w:rsidRPr="00616432">
        <w:rPr>
          <w:rFonts w:ascii="Tahoma" w:hAnsi="Tahoma" w:cs="Tahoma"/>
          <w:color w:val="3D3640"/>
          <w:sz w:val="20"/>
          <w:szCs w:val="20"/>
        </w:rPr>
        <w:t>Joint ownership of landlords</w:t>
      </w:r>
    </w:p>
    <w:p w14:paraId="3FB54653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2857C63B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2EB58B9D" w14:textId="77777777" w:rsid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616432">
        <w:rPr>
          <w:rFonts w:ascii="Tahoma" w:hAnsi="Tahoma" w:cs="Tahoma"/>
          <w:color w:val="DD2034"/>
          <w:sz w:val="20"/>
          <w:szCs w:val="20"/>
        </w:rPr>
        <w:t>Payments</w:t>
      </w:r>
    </w:p>
    <w:p w14:paraId="5A4F2087" w14:textId="3B866AA2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</w:rPr>
      </w:pPr>
      <w:r w:rsidRPr="00616432">
        <w:rPr>
          <w:rFonts w:ascii="Tahoma" w:hAnsi="Tahoma" w:cs="Tahoma"/>
          <w:sz w:val="20"/>
          <w:szCs w:val="20"/>
        </w:rPr>
        <w:t xml:space="preserve">Generating landlord statements </w:t>
      </w:r>
      <w:r w:rsidRPr="00616432">
        <w:rPr>
          <w:rFonts w:ascii="Tahoma" w:hAnsi="Tahoma" w:cs="Tahoma"/>
          <w:sz w:val="20"/>
          <w:szCs w:val="20"/>
        </w:rPr>
        <w:br/>
        <w:t>Paying landlord</w:t>
      </w:r>
      <w:r w:rsidRPr="00616432">
        <w:rPr>
          <w:rFonts w:ascii="Tahoma" w:hAnsi="Tahoma" w:cs="Tahoma"/>
          <w:sz w:val="20"/>
          <w:szCs w:val="20"/>
        </w:rPr>
        <w:br/>
        <w:t>Paying suppliers</w:t>
      </w:r>
      <w:r w:rsidRPr="00616432">
        <w:rPr>
          <w:rFonts w:ascii="Tahoma" w:hAnsi="Tahoma" w:cs="Tahoma"/>
          <w:sz w:val="20"/>
          <w:szCs w:val="20"/>
        </w:rPr>
        <w:br/>
        <w:t>Paying agency</w:t>
      </w:r>
      <w:r w:rsidRPr="00616432">
        <w:rPr>
          <w:rFonts w:ascii="Tahoma" w:hAnsi="Tahoma" w:cs="Tahoma"/>
          <w:sz w:val="20"/>
          <w:szCs w:val="20"/>
        </w:rPr>
        <w:br/>
        <w:t>BACS payments</w:t>
      </w:r>
      <w:r w:rsidRPr="00616432">
        <w:rPr>
          <w:rFonts w:ascii="Tahoma" w:hAnsi="Tahoma" w:cs="Tahoma"/>
          <w:sz w:val="20"/>
          <w:szCs w:val="20"/>
        </w:rPr>
        <w:br/>
        <w:t>DPS and TDS payments</w:t>
      </w:r>
    </w:p>
    <w:p w14:paraId="3898A1CD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45E59086" w14:textId="77777777" w:rsid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289FCA17" w14:textId="05B9D9CF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616432">
        <w:rPr>
          <w:rFonts w:ascii="Tahoma" w:hAnsi="Tahoma" w:cs="Tahoma"/>
          <w:color w:val="DD2034"/>
          <w:sz w:val="20"/>
          <w:szCs w:val="20"/>
        </w:rPr>
        <w:t>Accounts</w:t>
      </w:r>
    </w:p>
    <w:p w14:paraId="15188F2D" w14:textId="74CB1AF4" w:rsidR="00616432" w:rsidRPr="00616432" w:rsidRDefault="00616432" w:rsidP="00616432">
      <w:pPr>
        <w:widowControl w:val="0"/>
        <w:rPr>
          <w:rFonts w:ascii="Tahoma" w:hAnsi="Tahoma" w:cs="Tahoma"/>
          <w:color w:val="DD2034"/>
          <w:sz w:val="20"/>
          <w:szCs w:val="20"/>
        </w:rPr>
      </w:pPr>
      <w:r w:rsidRPr="00616432">
        <w:rPr>
          <w:rFonts w:ascii="Tahoma" w:hAnsi="Tahoma" w:cs="Tahoma"/>
          <w:color w:val="3D3640"/>
          <w:sz w:val="20"/>
          <w:szCs w:val="20"/>
        </w:rPr>
        <w:t xml:space="preserve">Bank reconciliation </w:t>
      </w:r>
      <w:r w:rsidRPr="00616432">
        <w:rPr>
          <w:rFonts w:ascii="Tahoma" w:hAnsi="Tahoma" w:cs="Tahoma"/>
          <w:color w:val="3D3640"/>
          <w:sz w:val="20"/>
          <w:szCs w:val="20"/>
        </w:rPr>
        <w:br/>
        <w:t>Receipt tenancy monies</w:t>
      </w:r>
      <w:r w:rsidRPr="00616432">
        <w:rPr>
          <w:rFonts w:ascii="Tahoma" w:hAnsi="Tahoma" w:cs="Tahoma"/>
          <w:color w:val="3D3640"/>
          <w:sz w:val="20"/>
          <w:szCs w:val="20"/>
        </w:rPr>
        <w:br/>
        <w:t>Receipt reversals</w:t>
      </w:r>
      <w:r w:rsidRPr="00616432">
        <w:rPr>
          <w:rFonts w:ascii="Tahoma" w:hAnsi="Tahoma" w:cs="Tahoma"/>
          <w:color w:val="3D3640"/>
          <w:sz w:val="20"/>
          <w:szCs w:val="20"/>
        </w:rPr>
        <w:br/>
        <w:t>Deposit refunds</w:t>
      </w:r>
      <w:r w:rsidRPr="00616432">
        <w:rPr>
          <w:rFonts w:ascii="Tahoma" w:hAnsi="Tahoma" w:cs="Tahoma"/>
          <w:color w:val="3D3640"/>
          <w:sz w:val="20"/>
          <w:szCs w:val="20"/>
        </w:rPr>
        <w:br/>
        <w:t>Annual statements</w:t>
      </w:r>
      <w:r w:rsidRPr="00616432">
        <w:rPr>
          <w:rFonts w:ascii="Tahoma" w:hAnsi="Tahoma" w:cs="Tahoma"/>
          <w:color w:val="3D3640"/>
          <w:sz w:val="20"/>
          <w:szCs w:val="20"/>
        </w:rPr>
        <w:br/>
        <w:t xml:space="preserve">Supplier invoices </w:t>
      </w:r>
      <w:r w:rsidRPr="00616432">
        <w:rPr>
          <w:rFonts w:ascii="Tahoma" w:hAnsi="Tahoma" w:cs="Tahoma"/>
          <w:color w:val="3D3640"/>
          <w:sz w:val="20"/>
          <w:szCs w:val="20"/>
        </w:rPr>
        <w:br/>
      </w:r>
      <w:r w:rsidR="00933397" w:rsidRPr="00616432">
        <w:rPr>
          <w:rFonts w:ascii="Tahoma" w:hAnsi="Tahoma" w:cs="Tahoma"/>
          <w:color w:val="3D3640"/>
          <w:sz w:val="20"/>
          <w:szCs w:val="20"/>
        </w:rPr>
        <w:t>Transferring</w:t>
      </w:r>
      <w:r w:rsidRPr="00616432">
        <w:rPr>
          <w:rFonts w:ascii="Tahoma" w:hAnsi="Tahoma" w:cs="Tahoma"/>
          <w:color w:val="3D3640"/>
          <w:sz w:val="20"/>
          <w:szCs w:val="20"/>
        </w:rPr>
        <w:t xml:space="preserve"> money</w:t>
      </w:r>
      <w:r w:rsidRPr="00616432">
        <w:rPr>
          <w:rFonts w:ascii="Tahoma" w:hAnsi="Tahoma" w:cs="Tahoma"/>
          <w:color w:val="3D3640"/>
          <w:sz w:val="20"/>
          <w:szCs w:val="20"/>
        </w:rPr>
        <w:br/>
      </w:r>
    </w:p>
    <w:p w14:paraId="6A397B60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616432">
        <w:rPr>
          <w:rFonts w:ascii="Tahoma" w:hAnsi="Tahoma" w:cs="Tahoma"/>
          <w:color w:val="DD2034"/>
          <w:sz w:val="20"/>
          <w:szCs w:val="20"/>
        </w:rPr>
        <w:t>Property Management Even Dates</w:t>
      </w:r>
    </w:p>
    <w:p w14:paraId="3A3EFD66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</w:rPr>
      </w:pPr>
      <w:r w:rsidRPr="00616432">
        <w:rPr>
          <w:rFonts w:ascii="Tahoma" w:hAnsi="Tahoma" w:cs="Tahoma"/>
          <w:sz w:val="20"/>
          <w:szCs w:val="20"/>
        </w:rPr>
        <w:t>Manage safety certificates</w:t>
      </w:r>
      <w:r w:rsidRPr="00616432">
        <w:rPr>
          <w:rFonts w:ascii="Tahoma" w:hAnsi="Tahoma" w:cs="Tahoma"/>
          <w:sz w:val="20"/>
          <w:szCs w:val="20"/>
        </w:rPr>
        <w:br/>
        <w:t>Property Inspections</w:t>
      </w:r>
      <w:r w:rsidRPr="00616432">
        <w:rPr>
          <w:rFonts w:ascii="Tahoma" w:hAnsi="Tahoma" w:cs="Tahoma"/>
          <w:sz w:val="20"/>
          <w:szCs w:val="20"/>
        </w:rPr>
        <w:br/>
        <w:t>Renew, periodic and vacate tenancy</w:t>
      </w:r>
    </w:p>
    <w:p w14:paraId="302F609A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</w:p>
    <w:p w14:paraId="1D8BFEA2" w14:textId="01AEF666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DD2034"/>
          <w:sz w:val="20"/>
          <w:szCs w:val="20"/>
        </w:rPr>
      </w:pPr>
      <w:r w:rsidRPr="00616432">
        <w:rPr>
          <w:rFonts w:ascii="Tahoma" w:hAnsi="Tahoma" w:cs="Tahoma"/>
          <w:color w:val="DD2034"/>
          <w:sz w:val="20"/>
          <w:szCs w:val="20"/>
        </w:rPr>
        <w:t>Opening Balances</w:t>
      </w:r>
    </w:p>
    <w:p w14:paraId="1EB458C2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</w:rPr>
      </w:pPr>
      <w:r w:rsidRPr="00616432">
        <w:rPr>
          <w:rFonts w:ascii="Tahoma" w:hAnsi="Tahoma" w:cs="Tahoma"/>
          <w:sz w:val="20"/>
          <w:szCs w:val="20"/>
        </w:rPr>
        <w:t>Tenancy</w:t>
      </w:r>
      <w:r w:rsidRPr="00616432">
        <w:rPr>
          <w:rFonts w:ascii="Tahoma" w:hAnsi="Tahoma" w:cs="Tahoma"/>
          <w:sz w:val="20"/>
          <w:szCs w:val="20"/>
        </w:rPr>
        <w:br/>
        <w:t>Landlord</w:t>
      </w:r>
      <w:r w:rsidRPr="00616432">
        <w:rPr>
          <w:rFonts w:ascii="Tahoma" w:hAnsi="Tahoma" w:cs="Tahoma"/>
          <w:sz w:val="20"/>
          <w:szCs w:val="20"/>
        </w:rPr>
        <w:br/>
        <w:t>Deposits</w:t>
      </w:r>
      <w:r w:rsidRPr="00616432">
        <w:rPr>
          <w:rFonts w:ascii="Tahoma" w:hAnsi="Tahoma" w:cs="Tahoma"/>
          <w:sz w:val="20"/>
          <w:szCs w:val="20"/>
        </w:rPr>
        <w:br/>
        <w:t>Arrears</w:t>
      </w:r>
      <w:bookmarkStart w:id="0" w:name="_GoBack"/>
      <w:bookmarkEnd w:id="0"/>
    </w:p>
    <w:p w14:paraId="07BDBE08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</w:rPr>
      </w:pPr>
      <w:r w:rsidRPr="00616432">
        <w:rPr>
          <w:rFonts w:ascii="Tahoma" w:hAnsi="Tahoma" w:cs="Tahoma"/>
          <w:sz w:val="20"/>
          <w:szCs w:val="20"/>
        </w:rPr>
        <w:t>Reports</w:t>
      </w:r>
    </w:p>
    <w:p w14:paraId="152FEB30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</w:rPr>
      </w:pPr>
      <w:r w:rsidRPr="00616432">
        <w:rPr>
          <w:rFonts w:ascii="Tahoma" w:hAnsi="Tahoma" w:cs="Tahoma"/>
          <w:sz w:val="20"/>
          <w:szCs w:val="20"/>
        </w:rPr>
        <w:t>PM financial reports</w:t>
      </w:r>
      <w:r w:rsidRPr="00616432">
        <w:rPr>
          <w:rFonts w:ascii="Tahoma" w:hAnsi="Tahoma" w:cs="Tahoma"/>
          <w:sz w:val="20"/>
          <w:szCs w:val="20"/>
        </w:rPr>
        <w:br/>
        <w:t>Trial balance report</w:t>
      </w:r>
      <w:r w:rsidRPr="00616432">
        <w:rPr>
          <w:rFonts w:ascii="Tahoma" w:hAnsi="Tahoma" w:cs="Tahoma"/>
          <w:sz w:val="20"/>
          <w:szCs w:val="20"/>
        </w:rPr>
        <w:br/>
        <w:t>Property management reports</w:t>
      </w:r>
    </w:p>
    <w:p w14:paraId="6A5E3F57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</w:rPr>
      </w:pPr>
      <w:r w:rsidRPr="00616432">
        <w:rPr>
          <w:rFonts w:ascii="Tahoma" w:hAnsi="Tahoma" w:cs="Tahoma"/>
          <w:sz w:val="20"/>
          <w:szCs w:val="20"/>
        </w:rPr>
        <w:t>Admin</w:t>
      </w:r>
    </w:p>
    <w:p w14:paraId="3CB0E192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sz w:val="20"/>
          <w:szCs w:val="20"/>
        </w:rPr>
      </w:pPr>
      <w:r w:rsidRPr="00616432">
        <w:rPr>
          <w:rFonts w:ascii="Tahoma" w:hAnsi="Tahoma" w:cs="Tahoma"/>
          <w:sz w:val="20"/>
          <w:szCs w:val="20"/>
        </w:rPr>
        <w:t>System configuration</w:t>
      </w:r>
      <w:r w:rsidRPr="00616432">
        <w:rPr>
          <w:rFonts w:ascii="Tahoma" w:hAnsi="Tahoma" w:cs="Tahoma"/>
          <w:sz w:val="20"/>
          <w:szCs w:val="20"/>
        </w:rPr>
        <w:br/>
        <w:t>Lettings configuration</w:t>
      </w:r>
      <w:r w:rsidRPr="00616432">
        <w:rPr>
          <w:rFonts w:ascii="Tahoma" w:hAnsi="Tahoma" w:cs="Tahoma"/>
          <w:sz w:val="20"/>
          <w:szCs w:val="20"/>
        </w:rPr>
        <w:br/>
        <w:t>Manage users</w:t>
      </w:r>
    </w:p>
    <w:p w14:paraId="68CA6645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</w:p>
    <w:p w14:paraId="37C242CD" w14:textId="77777777" w:rsidR="00616432" w:rsidRPr="00616432" w:rsidRDefault="00616432" w:rsidP="0061643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ahoma" w:hAnsi="Tahoma" w:cs="Tahoma"/>
          <w:color w:val="3D3640"/>
          <w:sz w:val="20"/>
          <w:szCs w:val="20"/>
        </w:rPr>
      </w:pPr>
    </w:p>
    <w:p w14:paraId="39BCA14B" w14:textId="1484942A" w:rsidR="00616432" w:rsidRPr="00616432" w:rsidRDefault="00616432" w:rsidP="00616432">
      <w:pPr>
        <w:rPr>
          <w:rFonts w:ascii="Tahoma" w:hAnsi="Tahoma" w:cs="Tahoma"/>
        </w:rPr>
      </w:pPr>
    </w:p>
    <w:sectPr w:rsidR="00616432" w:rsidRPr="00616432" w:rsidSect="00616432">
      <w:type w:val="continuous"/>
      <w:pgSz w:w="12240" w:h="15840"/>
      <w:pgMar w:top="1440" w:right="1440" w:bottom="1418" w:left="1440" w:header="0" w:footer="720" w:gutter="0"/>
      <w:pgNumType w:start="1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8744BE" w14:textId="77777777" w:rsidR="00886A72" w:rsidRDefault="00886A72" w:rsidP="00616432">
      <w:pPr>
        <w:spacing w:line="240" w:lineRule="auto"/>
      </w:pPr>
      <w:r>
        <w:separator/>
      </w:r>
    </w:p>
  </w:endnote>
  <w:endnote w:type="continuationSeparator" w:id="0">
    <w:p w14:paraId="236336D9" w14:textId="77777777" w:rsidR="00886A72" w:rsidRDefault="00886A72" w:rsidP="006164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FF403" w14:textId="167674F9" w:rsidR="00616432" w:rsidRDefault="00262763">
    <w:pPr>
      <w:pStyle w:val="Footer"/>
    </w:pPr>
    <w:r w:rsidRPr="00262763">
      <mc:AlternateContent>
        <mc:Choice Requires="wps">
          <w:drawing>
            <wp:anchor distT="0" distB="0" distL="114300" distR="114300" simplePos="0" relativeHeight="251660288" behindDoc="0" locked="0" layoutInCell="1" allowOverlap="1" wp14:anchorId="3070B1C7" wp14:editId="1DD8ADDE">
              <wp:simplePos x="0" y="0"/>
              <wp:positionH relativeFrom="column">
                <wp:posOffset>-932180</wp:posOffset>
              </wp:positionH>
              <wp:positionV relativeFrom="paragraph">
                <wp:posOffset>-434340</wp:posOffset>
              </wp:positionV>
              <wp:extent cx="7774940" cy="1036320"/>
              <wp:effectExtent l="0" t="0" r="1651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4940" cy="1036320"/>
                      </a:xfrm>
                      <a:prstGeom prst="rect">
                        <a:avLst/>
                      </a:prstGeom>
                      <a:solidFill>
                        <a:srgbClr val="6A148E"/>
                      </a:solidFill>
                      <a:ln>
                        <a:solidFill>
                          <a:srgbClr val="6A148E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46B9F73" id="Rectangle 1" o:spid="_x0000_s1026" style="position:absolute;margin-left:-73.4pt;margin-top:-34.2pt;width:612.2pt;height:8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" fillcolor="#6a148e" strokecolor="#6a148e" strokeweight="1pt"/>
          </w:pict>
        </mc:Fallback>
      </mc:AlternateContent>
    </w:r>
    <w:r w:rsidRPr="00262763">
      <w:drawing>
        <wp:anchor distT="0" distB="0" distL="114300" distR="114300" simplePos="0" relativeHeight="251661312" behindDoc="0" locked="0" layoutInCell="1" allowOverlap="1" wp14:anchorId="1A1155B7" wp14:editId="1173ADA1">
          <wp:simplePos x="0" y="0"/>
          <wp:positionH relativeFrom="column">
            <wp:posOffset>3783965</wp:posOffset>
          </wp:positionH>
          <wp:positionV relativeFrom="paragraph">
            <wp:posOffset>-230505</wp:posOffset>
          </wp:positionV>
          <wp:extent cx="3108960" cy="8324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rizontal Part of Zoopla white logo-Padding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2763">
      <w:drawing>
        <wp:anchor distT="0" distB="0" distL="114300" distR="114300" simplePos="0" relativeHeight="251662336" behindDoc="0" locked="0" layoutInCell="1" allowOverlap="1" wp14:anchorId="1D36F79B" wp14:editId="02B91552">
          <wp:simplePos x="0" y="0"/>
          <wp:positionH relativeFrom="page">
            <wp:posOffset>-17780</wp:posOffset>
          </wp:positionH>
          <wp:positionV relativeFrom="paragraph">
            <wp:posOffset>-228600</wp:posOffset>
          </wp:positionV>
          <wp:extent cx="2377440" cy="822960"/>
          <wp:effectExtent l="0" t="0" r="0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UPIX HORIZ WHITE LOGO_WE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35212A" w14:textId="77777777" w:rsidR="00886A72" w:rsidRDefault="00886A72" w:rsidP="00616432">
      <w:pPr>
        <w:spacing w:line="240" w:lineRule="auto"/>
      </w:pPr>
      <w:r>
        <w:separator/>
      </w:r>
    </w:p>
  </w:footnote>
  <w:footnote w:type="continuationSeparator" w:id="0">
    <w:p w14:paraId="742F9AEB" w14:textId="77777777" w:rsidR="00886A72" w:rsidRDefault="00886A72" w:rsidP="006164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EA2DA" w14:textId="29C509ED" w:rsidR="00616432" w:rsidRDefault="0061643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1A86B1" wp14:editId="2930D707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4940" cy="1422400"/>
          <wp:effectExtent l="0" t="0" r="0" b="6350"/>
          <wp:wrapNone/>
          <wp:docPr id="10" name="Picture 10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upix Red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4940" cy="142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32"/>
    <w:rsid w:val="00262763"/>
    <w:rsid w:val="00280F2A"/>
    <w:rsid w:val="003A179F"/>
    <w:rsid w:val="00616432"/>
    <w:rsid w:val="00685EB1"/>
    <w:rsid w:val="006A6C2D"/>
    <w:rsid w:val="00886A72"/>
    <w:rsid w:val="0093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2A5A3"/>
  <w15:chartTrackingRefBased/>
  <w15:docId w15:val="{4D278312-42C3-4A15-903B-D60366F9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432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64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6432"/>
    <w:rPr>
      <w:rFonts w:ascii="Arial" w:eastAsia="Arial" w:hAnsi="Arial" w:cs="Aria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164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6432"/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Rayet</dc:creator>
  <cp:keywords/>
  <dc:description/>
  <cp:lastModifiedBy>Verity Stanford-Tuck</cp:lastModifiedBy>
  <cp:revision>2</cp:revision>
  <dcterms:created xsi:type="dcterms:W3CDTF">2019-11-11T09:59:00Z</dcterms:created>
  <dcterms:modified xsi:type="dcterms:W3CDTF">2019-11-11T09:59:00Z</dcterms:modified>
</cp:coreProperties>
</file>